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50C6F">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Autospacing="0" w:line="590" w:lineRule="exact"/>
        <w:ind w:left="3960" w:hanging="3960" w:hangingChars="900"/>
        <w:textAlignment w:val="auto"/>
        <w:outlineLvl w:val="0"/>
        <w:rPr>
          <w:rFonts w:hint="eastAsia" w:ascii="Times New Roman" w:hAnsi="Times New Roman" w:eastAsiaTheme="minorEastAsia"/>
          <w:sz w:val="24"/>
          <w:szCs w:val="24"/>
          <w:lang w:eastAsia="zh-CN"/>
        </w:rPr>
      </w:pPr>
      <w:r>
        <w:rPr>
          <w:rFonts w:hint="eastAsia" w:ascii="方正小标宋简体" w:hAnsi="方正小标宋简体" w:eastAsia="方正小标宋简体" w:cs="方正小标宋简体"/>
          <w:b w:val="0"/>
          <w:bCs w:val="0"/>
          <w:i w:val="0"/>
          <w:iCs w:val="0"/>
          <w:caps w:val="0"/>
          <w:color w:val="404040"/>
          <w:spacing w:val="0"/>
          <w:sz w:val="44"/>
          <w:szCs w:val="44"/>
          <w:lang w:eastAsia="zh-CN"/>
        </w:rPr>
        <w:t>第一讲</w:t>
      </w:r>
      <w:r>
        <w:rPr>
          <w:rFonts w:hint="eastAsia" w:ascii="方正小标宋简体" w:hAnsi="方正小标宋简体" w:eastAsia="方正小标宋简体" w:cs="方正小标宋简体"/>
          <w:b w:val="0"/>
          <w:bCs w:val="0"/>
          <w:i w:val="0"/>
          <w:iCs w:val="0"/>
          <w:caps w:val="0"/>
          <w:color w:val="404040"/>
          <w:spacing w:val="0"/>
          <w:sz w:val="44"/>
          <w:szCs w:val="44"/>
          <w:lang w:val="en-US" w:eastAsia="zh-CN"/>
        </w:rPr>
        <w:t xml:space="preserve">  </w:t>
      </w:r>
      <w:r>
        <w:rPr>
          <w:rFonts w:hint="eastAsia" w:ascii="方正小标宋简体" w:hAnsi="方正小标宋简体" w:eastAsia="方正小标宋简体" w:cs="方正小标宋简体"/>
          <w:b w:val="0"/>
          <w:bCs w:val="0"/>
          <w:i w:val="0"/>
          <w:iCs w:val="0"/>
          <w:caps w:val="0"/>
          <w:color w:val="404040"/>
          <w:spacing w:val="0"/>
          <w:sz w:val="44"/>
          <w:szCs w:val="44"/>
        </w:rPr>
        <w:t>妊娠滋养细胞肿瘤：从病因到治疗的全面解析</w:t>
      </w:r>
    </w:p>
    <w:p w14:paraId="755EB27B">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Autospacing="0" w:line="590" w:lineRule="exact"/>
        <w:ind w:firstLine="2880" w:firstLineChars="900"/>
        <w:jc w:val="both"/>
        <w:textAlignment w:val="auto"/>
        <w:outlineLvl w:val="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福建省肿瘤医院</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林亮</w:t>
      </w:r>
    </w:p>
    <w:p w14:paraId="0C387C9C">
      <w:pPr>
        <w:keepNext w:val="0"/>
        <w:keepLines w:val="0"/>
        <w:pageBreakBefore w:val="0"/>
        <w:kinsoku/>
        <w:wordWrap/>
        <w:overflowPunct/>
        <w:topLinePunct w:val="0"/>
        <w:autoSpaceDE/>
        <w:autoSpaceDN/>
        <w:bidi w:val="0"/>
        <w:adjustRightInd/>
        <w:snapToGrid/>
        <w:spacing w:beforeAutospacing="0" w:afterAutospacing="0" w:line="590" w:lineRule="exact"/>
        <w:jc w:val="both"/>
        <w:textAlignment w:val="auto"/>
        <w:rPr>
          <w:rFonts w:hint="eastAsia" w:ascii="仿宋_GB2312" w:hAnsi="仿宋_GB2312" w:eastAsia="仿宋_GB2312" w:cs="仿宋_GB2312"/>
          <w:sz w:val="32"/>
          <w:szCs w:val="32"/>
        </w:rPr>
      </w:pPr>
    </w:p>
    <w:p w14:paraId="7DFDABB3">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3"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一、妊娠滋养细胞肿瘤的概述</w:t>
      </w:r>
    </w:p>
    <w:p w14:paraId="281F425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妊娠滋养细胞肿瘤（GTN）是一组罕见的妊娠相关肿瘤，包括葡萄胎、侵袭性葡萄胎、绒毛膜癌和胎盘部位滋养细胞肿瘤。这些肿瘤起源于胎盘滋养层细胞，具有独特的生物学行为和临床表现。GTN的发病率在不同地区和种族中有所差异，亚洲和拉丁美洲的发病率较高，而欧美国家的发病率相对较低。尽管GTN的发病率较低，但其对女性生殖健康的影响不容忽视。</w:t>
      </w:r>
    </w:p>
    <w:p w14:paraId="55EC1B4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GTN的分类主要基于其病理特征和生物学行为。葡萄胎是最常见的类型，分为完全性葡萄胎和部分性葡萄胎。完全性葡萄胎由空卵受精或双精子受精形成，染色体核型为二倍体，通常为46，XX或46，XY。部分性葡萄胎则由正常卵子与双精子受精形成，染色体核型为三倍体，通常为69，XXY或69，XXX。侵袭性葡萄胎是葡萄胎的恶性形式，具有侵袭性生长和转移的潜能。绒毛膜癌是高度恶性的GTN，具有早期血行转移的特点。胎盘部位滋养细胞肿瘤则较为罕见，起源于胎盘植入部位的中间滋养层细胞。</w:t>
      </w:r>
    </w:p>
    <w:p w14:paraId="758E7B09">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3"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二、妊娠滋养细胞肿瘤的病因和病理生理</w:t>
      </w:r>
    </w:p>
    <w:p w14:paraId="701882E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妊娠滋养细胞肿瘤（GTN）的病因尚未完全明确，但研究表明，多种因素可能与其发生发展相关。遗传因素在GTN的发病中起着重要作用。完全性葡萄胎通常由空卵受精或双精子受精形成，染色体核型为二倍体，通常为46，XX或46，XY。部分性葡萄胎则由正常卵子与双精子受精形成，染色体核型为三倍体，通常为69，XXY或69，XXX。这些染色体异常导致滋养层细胞异常增殖和分化，最终形成葡萄胎。</w:t>
      </w:r>
    </w:p>
    <w:p w14:paraId="3EE4582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环境因素也可能影响GTN的发生。一些研究发现，营养不良、维生素A缺乏、高脂肪饮食等因素可能增加GTN的风险。此外，母亲年龄也是一个重要的风险因素。年龄小于20岁或大于35岁的女性，GTN的发病率较高。这可能与年轻女性卵巢功能不成熟和年长女性卵子质量下降有关。</w:t>
      </w:r>
    </w:p>
    <w:p w14:paraId="5D95430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在病理生理方面，GTN的发生与滋养层细胞的异常增殖和分化密切相关。滋养层细胞是胎盘的主要组成部分，负责胎儿的营养供应和激素分泌。在正常妊娠中，滋养层细胞会经历有序的增殖、分化和凋亡过程。然而，在GTN中，这一过程被破坏，导致滋养层细胞不受控制地增殖和侵袭。</w:t>
      </w:r>
    </w:p>
    <w:p w14:paraId="0AF076F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完全性葡萄胎的滋养层细胞通常表现为弥漫性水肿和囊性变，绒毛间质水肿明显，缺乏胎儿血管和胚胎组织。部分性葡萄胎的滋养层细胞则表现为局部水肿和囊性变，绒毛间质水肿较轻，可见胎儿血管和胚胎组织。侵袭性葡萄胎的滋养层细胞具有侵袭性生长和转移的潜能，可侵犯子宫肌层和血管。绒毛膜癌的滋养层细胞则表现为高度异型性和恶性特征，早期即可通过血行转移至肺、肝、脑等远处器官。胎盘部位滋养细胞肿瘤的滋养层细胞则起源于胎盘植入部位的中间滋养层细胞，具有侵袭性生长和转移的潜能。</w:t>
      </w:r>
    </w:p>
    <w:p w14:paraId="18957050">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GTN的病因和病理生理机制复杂多样，涉及遗传、环境、内分泌和免疫等多个方面。深入研究这些机制，有助于揭示GTN的发生发展规律，为临床诊断和治疗提供新的思路和方法。</w:t>
      </w:r>
    </w:p>
    <w:p w14:paraId="70F477FB">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3"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三、妊娠滋养细胞肿瘤的临床表现</w:t>
      </w:r>
    </w:p>
    <w:p w14:paraId="725B17B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妊娠滋养细胞肿瘤（GTN）的临床表现多样，早期症状常不典型，容易被忽视。常见的症状包括阴道出血、子宫异常增大、妊娠剧吐和腹痛等。阴道出血是最常见的症状，通常发生在妊娠早期或流产后，出血量可多可少，有时伴有血块。子宫异常增大是另一个常见症状，子宫体积明显大于相应孕周，质地柔软，有时可触及卵巢黄素化囊肿。妊娠剧吐在GTN患者中也较为常见，呕吐程度严重，常导致脱水和电解质紊乱。腹痛则多由子宫快速增大或肿瘤破裂引起，疼痛程度不一，有时可放射至腰背部。</w:t>
      </w:r>
    </w:p>
    <w:p w14:paraId="1C2A3F8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GTN的体征主要包括子宫增大、卵巢黄素化囊肿和转移灶相关体征。子宫增大是GTN的典型体征，子宫体积明显大于相应孕周，质地柔软，有时可触及卵巢黄素化囊肿。卵巢黄素化囊肿是由于高水平的hCG刺激卵巢黄体形成，囊肿体积较大，通常为双侧性，直径可达10cm以上。转移灶相关体征则取决于肿瘤转移的部位，肺转移可出现咳嗽、咯血、胸痛等症状；肝转移可出现右上腹疼痛、黄疸、腹水等症状；脑转移可出现头痛、呕吐、视力障碍、肢体瘫痪等症状。</w:t>
      </w:r>
    </w:p>
    <w:p w14:paraId="3C0B717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GTN的临床表现复杂多样，早期诊断和及时治疗至关重要。临床医生应提高警惕，对疑似病例进行详细询问病史、全面体格检查和必要的辅助检查，以尽早明确诊断，制定合理的治疗方案。</w:t>
      </w:r>
    </w:p>
    <w:p w14:paraId="3BCDBA04">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3"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四、妊娠滋养细胞肿瘤的诊断方法</w:t>
      </w:r>
    </w:p>
    <w:p w14:paraId="78A8C51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妊娠滋养细胞肿瘤（GTN）的诊断需要结合临床表现、影像学检查和实验室检查等多方面的信息。影像学检查在GTN的诊断中起着重要作用。超声检查是最常用的影像学方法，可以显示子宫内异常回声团块、卵巢黄素化囊肿和转移灶等。完全性葡萄胎的超声图像通常表现为“雪花状”或“蜂窝状”回声，部分性葡萄胎则表现为局部囊性变和胎儿组织。侵袭性葡萄胎和绒毛膜癌的超声图像则显示子宫肌层内不规则回声团块，边界不清，血流丰富。CT和MRI检查可以进一步评估肿瘤的范围和转移情况，特别是对于肺、肝、脑等远处转移灶的检测具有重要价值。</w:t>
      </w:r>
    </w:p>
    <w:p w14:paraId="287127F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实验室检查是GTN诊断的另一个重要手段。血清hCG水平测定是GTN诊断和随访的关键指标。GTN患者的血清hCG水平通常显著升高，且与肿瘤负荷相关。完全性葡萄胎的hCG水平通常高于部分性葡萄胎，绒毛膜癌的hCG水平则更高。此外，hCG的动态变化也是评估治疗效果和预后的重要指标。其他实验室检查包括血常规、肝肾功能、电解质等，可以评估患者的全身状况和并发症。</w:t>
      </w:r>
    </w:p>
    <w:p w14:paraId="0EF26DCC">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病理学检查是GTN诊断的金标准。通过刮宫或手术切除获取组织标本，进行病理学检查，可以明确肿瘤的类型和性质。完全性葡萄胎的病理特征为绒毛间质水肿、滋养层细胞增生和缺乏胎儿血管；部分性葡萄胎的病理特征为局部绒毛水肿、滋养层细胞增生和存在胎儿血管；侵袭性葡萄胎的病理特征为滋养层细胞侵袭子宫肌层和血管；绒毛膜癌的病理特征为高度异型性的滋养层细胞和缺乏绒毛结构；胎盘部位滋养细胞肿瘤的病理特征为中间滋养层细胞增生和侵袭子宫肌层。</w:t>
      </w:r>
    </w:p>
    <w:p w14:paraId="2DD0870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GTN的诊断需要综合临床表现、影像学检查、实验室检查和病理学检查等多方面的信息。临床医生应根据患者的具体情况，选择合适的检查方法，尽早明确诊断，制定合理的治疗方案。</w:t>
      </w:r>
    </w:p>
    <w:p w14:paraId="41446EFA">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3"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五、妊娠滋养细胞肿瘤的治疗策略</w:t>
      </w:r>
    </w:p>
    <w:p w14:paraId="4A73D46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妊娠滋养细胞肿瘤（GTN）的治疗策略应根据肿瘤的类型、分期、患者的年龄、生育需求等因素综合考虑。治疗的主要目标是彻底清除肿瘤，保留患者的生育功能，并尽可能减少并发症。</w:t>
      </w:r>
    </w:p>
    <w:p w14:paraId="67156B9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手术治疗是GTN治疗的重要手段之一，尤其适用于早期病例和需要明确诊断的患者。对于完全性葡萄胎和部分性葡萄胎，通常采用清宫术，通过负压吸引和刮宫清除子宫内的异常组织。清宫术后应密切监测血清hCG水平，以确保肿瘤完全清除。对于侵袭性葡萄胎和绒毛膜癌，如果肿瘤局限于子宫且患者无生育需求，可考虑子宫切除术。对于有生育需求的患者，应尽量保留子宫，采用化疗为主的综合治疗。</w:t>
      </w:r>
    </w:p>
    <w:p w14:paraId="4B6BC1BC">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化疗是GTN治疗的核心手段，尤其适用于侵袭性葡萄胎、绒毛膜癌和转移性病例。常用的化疗药物包括甲氨蝶呤（MTX）、放线菌素D（Act-D）和依托泊苷（VP-16）等。低危GTN患者通常采用单药化疗，如MTX或Act-D，治疗有效率高达90%以上。高危GTN患者则需要采用多药联合化疗，如EMA-CO方案（依托泊苷、甲氨蝶呤、放线菌素D、环磷酰胺和长春新碱），以提高治疗效果。化疗期间应密切监测血清hCG水平和肿瘤影像学变化，及时调整治疗方案。</w:t>
      </w:r>
    </w:p>
    <w:p w14:paraId="14E8893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放疗在GTN治疗中的应用相对有限，主要用于脑转移和耐药病例。全脑放疗可以有效控制脑转移灶，缓解症状，提高生存率。对于耐药病例，放疗可以作为辅助治疗手段，增强化疗效果。</w:t>
      </w:r>
    </w:p>
    <w:p w14:paraId="2A18D40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靶向治疗和免疫治疗是GTN治疗的新兴领域，目前尚处于研究阶段。一些研究表明，抗血管生成药物（如贝伐珠单抗）和免疫检查点抑制剂（如PD-1/PD-L1抑制剂）在GTN治疗中具有一定的潜力，但仍需进一步临床试验验证。</w:t>
      </w:r>
    </w:p>
    <w:p w14:paraId="1C9E485F">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GTN的治疗策略应根据患者的具体情况，综合考虑手术、化疗、放疗和新兴治疗手段，制定个体化的治疗方案。治疗过程中应密切监测疗效和不良反应，及时调整治疗策略，以提高治疗效果和患者的生活质量。</w:t>
      </w:r>
    </w:p>
    <w:p w14:paraId="5FBECDC1">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3"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六、妊娠滋养细胞肿瘤的预后和随访</w:t>
      </w:r>
    </w:p>
    <w:p w14:paraId="65B27B6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妊娠滋养细胞肿瘤（GTN）的预后与肿瘤的类型、分期、治疗反应和患者的全身状况密切相关。总体而言，GTN的预后较好，尤其是低危病例，治愈率可达90%以上。完全性葡萄胎和部分性葡萄胎的预后通常较好，清宫术后血清hCG水平迅速下降，复发率较低。侵袭性葡萄胎和绒毛膜癌的预后相对较差，但通过积极的化疗和手术，大多数患者仍可获得长期生存。高危GTN患者的预后较差，尤其是伴有远处转移的病例，需要采用多药联合化疗和综合治疗，以提高生存率。</w:t>
      </w:r>
    </w:p>
    <w:p w14:paraId="46DF5DF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随访是GTN治疗的重要组成部分，旨在早期发现复发和转移，及时采取治疗措施。随访内容包括定期监测血清hCG水平、影像学检查和妇科检查。血清hCG水平是GTN随访的关键指标，通常在治疗结束后每周监测一次，直至连续3次阴性，然后每月监测一次，持续6个月，之后每2-3个月监测一次，持续1-2年。影像学检查包括超声、CT和MRI，用于评估肿瘤的消退和转移情况。妇科检查则用于评估子宫和卵巢的恢复情况。</w:t>
      </w:r>
    </w:p>
    <w:p w14:paraId="2AD59A8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GTN的预后和随访需要个体化管理，根据患者的具体情况制定合理的随访计划。通过密切监测和及时干预，可以有效降低复发和转移的风险，提高患者的长期生存率和生活质量。</w:t>
      </w:r>
    </w:p>
    <w:p w14:paraId="4F2FCBA8">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3"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七、结论</w:t>
      </w:r>
    </w:p>
    <w:p w14:paraId="0202790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妊娠滋养细胞肿瘤（GTN）是一组罕见的妊娠相关肿瘤，具有独特的生物学行为和临床表现。尽管GTN的发病率较低，但其对女性生殖健康的影响不容忽视。本文全面探讨了GTN的病因、病理生理、临床表现、诊断方法、治疗策略及预后，旨在提高公众对该疾病的认识和理解。</w:t>
      </w:r>
    </w:p>
    <w:p w14:paraId="25BEAD7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GTN的病因复杂多样，涉及遗传、环境、内分泌和免疫等多个方面。病理生理机制主要与滋养层细胞的异常增殖和分化相关。临床表现多样，早期症状常不典型，容易被忽视。诊断需要结合临床表现、影像学检查、实验室检查和病理学检查等多方面的信息。治疗策略应根据肿瘤的类型、分期、患者的年龄、生育需求等因素综合考虑，采用手术、化疗、放疗和新兴治疗手段的综合治疗。预后与肿瘤的类型、分期、治疗反应和患者的全身状况密切相关，随访是GTN治疗的重要组成部分，旨在早期发现复发和转移，及时采取治疗措施。</w:t>
      </w:r>
    </w:p>
    <w:p w14:paraId="0C9684B0">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firstLine="640" w:firstLineChars="200"/>
        <w:jc w:val="both"/>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通过详细的解析和最新的研究进展，本文为患者和医疗专业人员提供了有价值的参考信息。希望本文能够提高公众对GTN的认识，促进早期诊断和及时治疗，改善患者的预后和生活质量。</w:t>
      </w:r>
    </w:p>
    <w:p w14:paraId="5DD66E06">
      <w:pPr>
        <w:pStyle w:val="3"/>
        <w:keepNext w:val="0"/>
        <w:keepLines w:val="0"/>
        <w:widowControl/>
        <w:suppressLineNumbers w:val="0"/>
        <w:spacing w:line="23" w:lineRule="atLeast"/>
        <w:ind w:left="0" w:firstLine="0"/>
        <w:rPr>
          <w:rFonts w:hint="default" w:ascii="Segoe UI" w:hAnsi="Segoe UI" w:eastAsia="Segoe UI" w:cs="Segoe UI"/>
          <w:i w:val="0"/>
          <w:iCs w:val="0"/>
          <w:caps w:val="0"/>
          <w:color w:val="404040"/>
          <w:spacing w:val="0"/>
        </w:rPr>
      </w:pPr>
    </w:p>
    <w:p w14:paraId="0BA4571A">
      <w:pPr>
        <w:pStyle w:val="3"/>
        <w:keepNext w:val="0"/>
        <w:keepLines w:val="0"/>
        <w:widowControl/>
        <w:suppressLineNumbers w:val="0"/>
        <w:spacing w:line="23" w:lineRule="atLeast"/>
        <w:ind w:left="0" w:firstLine="0"/>
        <w:rPr>
          <w:rFonts w:hint="default" w:ascii="Segoe UI" w:hAnsi="Segoe UI" w:eastAsia="Segoe UI" w:cs="Segoe UI"/>
          <w:i w:val="0"/>
          <w:iCs w:val="0"/>
          <w:caps w:val="0"/>
          <w:color w:val="404040"/>
          <w:spacing w:val="0"/>
        </w:rPr>
      </w:pPr>
    </w:p>
    <w:p w14:paraId="3FCD1416">
      <w:pPr>
        <w:pStyle w:val="3"/>
        <w:keepNext w:val="0"/>
        <w:keepLines w:val="0"/>
        <w:widowControl/>
        <w:suppressLineNumbers w:val="0"/>
        <w:spacing w:line="23" w:lineRule="atLeast"/>
        <w:ind w:left="0" w:firstLine="0"/>
        <w:rPr>
          <w:rFonts w:hint="default" w:ascii="Segoe UI" w:hAnsi="Segoe UI" w:eastAsia="Segoe UI" w:cs="Segoe UI"/>
          <w:i w:val="0"/>
          <w:iCs w:val="0"/>
          <w:caps w:val="0"/>
          <w:color w:val="404040"/>
          <w:spacing w:val="0"/>
        </w:rPr>
      </w:pPr>
    </w:p>
    <w:p w14:paraId="0AA112B0">
      <w:pPr>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i w:val="0"/>
          <w:iCs w:val="0"/>
          <w:caps w:val="0"/>
          <w:color w:val="404040"/>
          <w:spacing w:val="0"/>
          <w:sz w:val="32"/>
          <w:szCs w:val="32"/>
          <w:lang w:eastAsia="zh-CN"/>
        </w:rPr>
        <w:t>附单项选择题</w:t>
      </w:r>
      <w:r>
        <w:rPr>
          <w:rFonts w:hint="eastAsia" w:ascii="仿宋_GB2312" w:hAnsi="仿宋_GB2312" w:eastAsia="仿宋_GB2312" w:cs="仿宋_GB2312"/>
          <w:b/>
          <w:bCs/>
          <w:i w:val="0"/>
          <w:iCs w:val="0"/>
          <w:caps w:val="0"/>
          <w:color w:val="404040"/>
          <w:spacing w:val="0"/>
          <w:sz w:val="32"/>
          <w:szCs w:val="32"/>
          <w:lang w:val="en-US" w:eastAsia="zh-CN"/>
        </w:rPr>
        <w:t xml:space="preserve"> </w:t>
      </w:r>
    </w:p>
    <w:p w14:paraId="61B80CE3">
      <w:pPr>
        <w:pStyle w:val="5"/>
        <w:keepNext w:val="0"/>
        <w:keepLines w:val="0"/>
        <w:widowControl/>
        <w:numPr>
          <w:ilvl w:val="0"/>
          <w:numId w:val="1"/>
        </w:numPr>
        <w:suppressLineNumbers w:val="0"/>
        <w:spacing w:before="0" w:beforeAutospacing="0" w:after="0" w:afterAutospacing="0"/>
        <w:ind w:right="0"/>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rPr>
        <w:t>妊娠滋养细胞肿瘤（GTN）最</w:t>
      </w:r>
      <w:bookmarkStart w:id="0" w:name="_GoBack"/>
      <w:bookmarkEnd w:id="0"/>
      <w:r>
        <w:rPr>
          <w:rFonts w:hint="eastAsia" w:ascii="仿宋_GB2312" w:hAnsi="仿宋_GB2312" w:eastAsia="仿宋_GB2312" w:cs="仿宋_GB2312"/>
          <w:i w:val="0"/>
          <w:iCs w:val="0"/>
          <w:caps w:val="0"/>
          <w:color w:val="404040"/>
          <w:spacing w:val="0"/>
          <w:sz w:val="32"/>
          <w:szCs w:val="32"/>
        </w:rPr>
        <w:t>常见的类型是：</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A. 完全性葡萄胎</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B. 部分性葡萄胎</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C. 绒毛膜癌</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D. 胎盘部位滋养细胞肿瘤</w:t>
      </w:r>
    </w:p>
    <w:p w14:paraId="02F4EAFF">
      <w:pPr>
        <w:pStyle w:val="5"/>
        <w:keepNext w:val="0"/>
        <w:keepLines w:val="0"/>
        <w:widowControl/>
        <w:numPr>
          <w:ilvl w:val="0"/>
          <w:numId w:val="1"/>
        </w:numPr>
        <w:suppressLineNumbers w:val="0"/>
        <w:spacing w:before="0" w:beforeAutospacing="0" w:after="0" w:afterAutospacing="0"/>
        <w:ind w:right="0"/>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404040"/>
          <w:spacing w:val="0"/>
          <w:sz w:val="32"/>
          <w:szCs w:val="32"/>
        </w:rPr>
        <w:t>GTN的发病率在以下哪个地区较高？</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A. 亚洲</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B. 欧洲</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C. 北美</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D. 非洲</w:t>
      </w:r>
    </w:p>
    <w:p w14:paraId="7F3B4F6C">
      <w:pPr>
        <w:pStyle w:val="5"/>
        <w:keepNext w:val="0"/>
        <w:keepLines w:val="0"/>
        <w:widowControl/>
        <w:numPr>
          <w:ilvl w:val="0"/>
          <w:numId w:val="1"/>
        </w:numPr>
        <w:suppressLineNumbers w:val="0"/>
        <w:spacing w:before="0" w:beforeAutospacing="0" w:after="0" w:afterAutospacing="0"/>
        <w:ind w:right="0"/>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404040"/>
          <w:spacing w:val="0"/>
          <w:sz w:val="32"/>
          <w:szCs w:val="32"/>
        </w:rPr>
        <w:t>完全性葡萄胎的染色体核型通常为：</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A. 46，XX或46，XY</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B. 69，XXY或69，XXX</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C. 47，XXY</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D. 45，X</w:t>
      </w:r>
    </w:p>
    <w:p w14:paraId="2CB10522">
      <w:pPr>
        <w:pStyle w:val="5"/>
        <w:keepNext w:val="0"/>
        <w:keepLines w:val="0"/>
        <w:widowControl/>
        <w:numPr>
          <w:ilvl w:val="0"/>
          <w:numId w:val="1"/>
        </w:numPr>
        <w:suppressLineNumbers w:val="0"/>
        <w:spacing w:before="0" w:beforeAutospacing="0" w:after="0" w:afterAutospacing="0"/>
        <w:ind w:right="0"/>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404040"/>
          <w:spacing w:val="0"/>
          <w:sz w:val="32"/>
          <w:szCs w:val="32"/>
        </w:rPr>
        <w:t>GTN最常见的症状是：</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A. 阴道出血</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B. 子宫异常增大</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C. 妊娠剧吐</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D. 腹痛</w:t>
      </w:r>
    </w:p>
    <w:p w14:paraId="35FA943D">
      <w:pPr>
        <w:pStyle w:val="5"/>
        <w:keepNext w:val="0"/>
        <w:keepLines w:val="0"/>
        <w:widowControl/>
        <w:numPr>
          <w:ilvl w:val="0"/>
          <w:numId w:val="1"/>
        </w:numPr>
        <w:suppressLineNumbers w:val="0"/>
        <w:spacing w:before="0" w:beforeAutospacing="0" w:after="0" w:afterAutospacing="0"/>
        <w:ind w:right="0"/>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404040"/>
          <w:spacing w:val="0"/>
          <w:sz w:val="32"/>
          <w:szCs w:val="32"/>
        </w:rPr>
        <w:t>GTN诊断的金标准是：</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A. 超声检查</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B. CT检查</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C. 病理学检查</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D. 血清hCG水平测定</w:t>
      </w:r>
    </w:p>
    <w:p w14:paraId="4926480B">
      <w:pPr>
        <w:pStyle w:val="5"/>
        <w:keepNext w:val="0"/>
        <w:keepLines w:val="0"/>
        <w:widowControl/>
        <w:numPr>
          <w:ilvl w:val="0"/>
          <w:numId w:val="1"/>
        </w:numPr>
        <w:suppressLineNumbers w:val="0"/>
        <w:spacing w:before="0" w:beforeAutospacing="0" w:after="0" w:afterAutospacing="0"/>
        <w:ind w:right="0"/>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404040"/>
          <w:spacing w:val="0"/>
          <w:sz w:val="32"/>
          <w:szCs w:val="32"/>
        </w:rPr>
        <w:t>低危GTN患者通常采用的化疗方案是：</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A. 单药化疗</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B. 多药联合化疗</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C. 放疗</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D. 靶向治疗</w:t>
      </w:r>
    </w:p>
    <w:p w14:paraId="53E22A55">
      <w:pPr>
        <w:pStyle w:val="5"/>
        <w:keepNext w:val="0"/>
        <w:keepLines w:val="0"/>
        <w:widowControl/>
        <w:numPr>
          <w:ilvl w:val="0"/>
          <w:numId w:val="1"/>
        </w:numPr>
        <w:suppressLineNumbers w:val="0"/>
        <w:spacing w:before="0" w:beforeAutospacing="0" w:after="0" w:afterAutospacing="0"/>
        <w:ind w:right="0"/>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404040"/>
          <w:spacing w:val="0"/>
          <w:sz w:val="32"/>
          <w:szCs w:val="32"/>
        </w:rPr>
        <w:t>GTN随访的关键指标是：</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A. 血清hCG水平</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B. 超声检查</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C. CT检查</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D. 妇科检查</w:t>
      </w:r>
    </w:p>
    <w:p w14:paraId="51E4BE70">
      <w:pPr>
        <w:pStyle w:val="5"/>
        <w:keepNext w:val="0"/>
        <w:keepLines w:val="0"/>
        <w:widowControl/>
        <w:numPr>
          <w:ilvl w:val="0"/>
          <w:numId w:val="1"/>
        </w:numPr>
        <w:suppressLineNumbers w:val="0"/>
        <w:spacing w:before="0" w:beforeAutospacing="0" w:after="0" w:afterAutospacing="0"/>
        <w:ind w:right="0"/>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404040"/>
          <w:spacing w:val="0"/>
          <w:sz w:val="32"/>
          <w:szCs w:val="32"/>
        </w:rPr>
        <w:t>高危GTN患者通常采用的化疗方案是：</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A. 单药化疗</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B. 多药联合化疗</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C. 放疗</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D. 靶向治疗</w:t>
      </w:r>
    </w:p>
    <w:p w14:paraId="5D4E470C">
      <w:pPr>
        <w:pStyle w:val="5"/>
        <w:keepNext w:val="0"/>
        <w:keepLines w:val="0"/>
        <w:widowControl/>
        <w:numPr>
          <w:ilvl w:val="0"/>
          <w:numId w:val="1"/>
        </w:numPr>
        <w:suppressLineNumbers w:val="0"/>
        <w:spacing w:before="0" w:beforeAutospacing="0" w:after="0" w:afterAutospacing="0"/>
        <w:ind w:right="0"/>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404040"/>
          <w:spacing w:val="0"/>
          <w:sz w:val="32"/>
          <w:szCs w:val="32"/>
        </w:rPr>
        <w:t>GTN的预后与以下哪项无关？</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A. 肿瘤的类型</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B. 肿瘤的分期</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C. 治疗反应</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D. 患者的年龄</w:t>
      </w:r>
    </w:p>
    <w:p w14:paraId="703B5D0E">
      <w:pPr>
        <w:pStyle w:val="5"/>
        <w:keepNext w:val="0"/>
        <w:keepLines w:val="0"/>
        <w:widowControl/>
        <w:numPr>
          <w:ilvl w:val="0"/>
          <w:numId w:val="1"/>
        </w:numPr>
        <w:suppressLineNumbers w:val="0"/>
        <w:spacing w:before="0" w:beforeAutospacing="0" w:after="0" w:afterAutospacing="0"/>
        <w:ind w:right="0"/>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404040"/>
          <w:spacing w:val="0"/>
          <w:sz w:val="32"/>
          <w:szCs w:val="32"/>
        </w:rPr>
        <w:t>GTN的随访通常持续多长时间？</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A. 6个月</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B. 1年</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C. 2年</w:t>
      </w:r>
      <w:r>
        <w:rPr>
          <w:rFonts w:hint="eastAsia" w:ascii="仿宋_GB2312" w:hAnsi="仿宋_GB2312" w:eastAsia="仿宋_GB2312" w:cs="仿宋_GB2312"/>
          <w:i w:val="0"/>
          <w:iCs w:val="0"/>
          <w:caps w:val="0"/>
          <w:color w:val="404040"/>
          <w:spacing w:val="0"/>
          <w:sz w:val="32"/>
          <w:szCs w:val="32"/>
        </w:rPr>
        <w:br w:type="textWrapping"/>
      </w:r>
      <w:r>
        <w:rPr>
          <w:rFonts w:hint="eastAsia" w:ascii="仿宋_GB2312" w:hAnsi="仿宋_GB2312" w:eastAsia="仿宋_GB2312" w:cs="仿宋_GB2312"/>
          <w:i w:val="0"/>
          <w:iCs w:val="0"/>
          <w:caps w:val="0"/>
          <w:color w:val="404040"/>
          <w:spacing w:val="0"/>
          <w:sz w:val="32"/>
          <w:szCs w:val="32"/>
        </w:rPr>
        <w:t>D. 5年</w:t>
      </w:r>
      <w:r>
        <w:rPr>
          <w:rFonts w:hint="eastAsia" w:ascii="仿宋_GB2312" w:hAnsi="仿宋_GB2312" w:eastAsia="仿宋_GB2312" w:cs="仿宋_GB2312"/>
          <w:i w:val="0"/>
          <w:iCs w:val="0"/>
          <w:caps w:val="0"/>
          <w:color w:val="404040"/>
          <w:spacing w:val="0"/>
          <w:sz w:val="32"/>
          <w:szCs w:val="32"/>
        </w:rPr>
        <w:br w:type="textWrapping"/>
      </w:r>
    </w:p>
    <w:p w14:paraId="247D186E">
      <w:pPr>
        <w:rPr>
          <w:rFonts w:hint="eastAsia" w:ascii="仿宋_GB2312" w:hAnsi="仿宋_GB2312" w:eastAsia="仿宋_GB2312" w:cs="仿宋_GB2312"/>
          <w:sz w:val="32"/>
          <w:szCs w:val="32"/>
        </w:rPr>
      </w:pPr>
    </w:p>
    <w:sectPr>
      <w:pgSz w:w="11906" w:h="16838"/>
      <w:pgMar w:top="1814" w:right="1587" w:bottom="1701"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egoe UI">
    <w:panose1 w:val="020B0502040204020203"/>
    <w:charset w:val="00"/>
    <w:family w:val="auto"/>
    <w:pitch w:val="default"/>
    <w:sig w:usb0="E10022FF" w:usb1="C000E47F" w:usb2="00000029" w:usb3="00000000" w:csb0="200001DF" w:csb1="2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BA45D0"/>
    <w:multiLevelType w:val="singleLevel"/>
    <w:tmpl w:val="15BA45D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716"/>
    <w:rsid w:val="001B47E4"/>
    <w:rsid w:val="00887A19"/>
    <w:rsid w:val="008C4716"/>
    <w:rsid w:val="008F6ABF"/>
    <w:rsid w:val="00DF2150"/>
    <w:rsid w:val="1EDA1208"/>
    <w:rsid w:val="321506AE"/>
    <w:rsid w:val="4DA5138A"/>
    <w:rsid w:val="4DD96CA8"/>
    <w:rsid w:val="5B730F8A"/>
    <w:rsid w:val="77066AF0"/>
    <w:rsid w:val="7FCD4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22"/>
    <w:rPr>
      <w:b/>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gzlsz</Company>
  <Pages>11</Pages>
  <Words>1001</Words>
  <Characters>1089</Characters>
  <Lines>25</Lines>
  <Paragraphs>7</Paragraphs>
  <TotalTime>35</TotalTime>
  <ScaleCrop>false</ScaleCrop>
  <LinksUpToDate>false</LinksUpToDate>
  <CharactersWithSpaces>1089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2022-01-12T01:16:00Z</dcterms:created>
  <dc:creator>User</dc:creator>
  <cp:lastModifiedBy>轻舞飞扬</cp:lastModifiedBy>
  <dcterms:modified xsi:type="dcterms:W3CDTF">2025-12-23T02:15:14Z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41DA47E286DA4275A35195A0E754831F</vt:lpwstr>
  </property>
  <property fmtid="{D5CDD505-2E9C-101B-9397-08002B2CF9AE}" pid="4" name="KSOTemplateDocerSaveRecord">
    <vt:lpwstr>eyJoZGlkIjoiODBmNTMzZjkzYzI0YjY0ZTVkNDZkMTM4NTY2ZGEwNjciLCJ1c2VySWQiOiI1OTU4NDk1MTUifQ==</vt:lpwstr>
  </property>
</Properties>
</file>